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11158" w14:textId="1E8155B5" w:rsidR="001775F8" w:rsidRDefault="001775F8" w:rsidP="00153909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14:paraId="62C1C8E8" w14:textId="6589A480" w:rsidR="009212FC" w:rsidRDefault="009212FC" w:rsidP="00153909">
      <w:pPr>
        <w:jc w:val="right"/>
        <w:rPr>
          <w:rFonts w:ascii="Times New Roman" w:hAnsi="Times New Roman"/>
          <w:b/>
          <w:sz w:val="24"/>
          <w:szCs w:val="24"/>
        </w:rPr>
      </w:pPr>
    </w:p>
    <w:p w14:paraId="6C789EE2" w14:textId="77777777" w:rsidR="009212FC" w:rsidRDefault="009212FC" w:rsidP="00153909">
      <w:pPr>
        <w:jc w:val="right"/>
        <w:rPr>
          <w:rFonts w:ascii="Times New Roman" w:hAnsi="Times New Roman"/>
          <w:b/>
          <w:sz w:val="24"/>
          <w:szCs w:val="24"/>
        </w:rPr>
      </w:pPr>
    </w:p>
    <w:p w14:paraId="546769C2" w14:textId="339EAB0A" w:rsidR="00153909" w:rsidRPr="009F2233" w:rsidRDefault="003D36D4" w:rsidP="00153909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9F2233">
        <w:rPr>
          <w:rFonts w:ascii="Times New Roman" w:hAnsi="Times New Roman"/>
          <w:b/>
          <w:sz w:val="24"/>
          <w:szCs w:val="24"/>
        </w:rPr>
        <w:t xml:space="preserve">Приложение </w:t>
      </w:r>
      <w:r w:rsidR="00B63039">
        <w:rPr>
          <w:rFonts w:ascii="Times New Roman" w:hAnsi="Times New Roman"/>
          <w:b/>
          <w:sz w:val="24"/>
          <w:szCs w:val="24"/>
          <w:lang w:val="en-US"/>
        </w:rPr>
        <w:t>5</w:t>
      </w:r>
      <w:r w:rsidR="00F42203" w:rsidRPr="009F2233">
        <w:rPr>
          <w:rFonts w:ascii="Times New Roman" w:hAnsi="Times New Roman"/>
          <w:b/>
          <w:sz w:val="24"/>
          <w:szCs w:val="24"/>
        </w:rPr>
        <w:t>.</w:t>
      </w:r>
      <w:r w:rsidRPr="009F2233">
        <w:rPr>
          <w:rFonts w:ascii="Times New Roman" w:hAnsi="Times New Roman"/>
          <w:b/>
          <w:sz w:val="24"/>
          <w:szCs w:val="24"/>
          <w:lang w:val="en-US"/>
        </w:rPr>
        <w:t>A</w:t>
      </w:r>
    </w:p>
    <w:p w14:paraId="313DFCF8" w14:textId="77777777" w:rsidR="00F01863" w:rsidRPr="009F2233" w:rsidRDefault="00F01863" w:rsidP="0015390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E510D92" w14:textId="5391D5A0" w:rsidR="00153909" w:rsidRPr="009F2233" w:rsidRDefault="00153909" w:rsidP="00153909">
      <w:pPr>
        <w:jc w:val="center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 xml:space="preserve">Изисквания, свързани с правилата за </w:t>
      </w:r>
      <w:r w:rsidR="0093490C" w:rsidRPr="009F2233">
        <w:rPr>
          <w:rFonts w:ascii="Times New Roman" w:hAnsi="Times New Roman"/>
          <w:b/>
          <w:sz w:val="24"/>
          <w:szCs w:val="24"/>
        </w:rPr>
        <w:t>„</w:t>
      </w:r>
      <w:r w:rsidR="009212FC" w:rsidRPr="009F2233">
        <w:rPr>
          <w:rFonts w:ascii="Times New Roman" w:hAnsi="Times New Roman"/>
          <w:b/>
          <w:sz w:val="24"/>
          <w:szCs w:val="24"/>
        </w:rPr>
        <w:t>Помощи за проекти за научноизследователска и развойна дейност</w:t>
      </w:r>
      <w:r w:rsidR="0093490C" w:rsidRPr="009F2233">
        <w:rPr>
          <w:rFonts w:ascii="Times New Roman" w:hAnsi="Times New Roman"/>
          <w:b/>
          <w:sz w:val="24"/>
          <w:szCs w:val="24"/>
        </w:rPr>
        <w:t xml:space="preserve">“ съгласно чл. </w:t>
      </w:r>
      <w:r w:rsidR="009212FC" w:rsidRPr="009F2233">
        <w:rPr>
          <w:rFonts w:ascii="Times New Roman" w:hAnsi="Times New Roman"/>
          <w:b/>
          <w:sz w:val="24"/>
          <w:szCs w:val="24"/>
        </w:rPr>
        <w:t>25</w:t>
      </w:r>
      <w:r w:rsidR="0093490C" w:rsidRPr="009F2233">
        <w:rPr>
          <w:rFonts w:ascii="Times New Roman" w:hAnsi="Times New Roman"/>
          <w:b/>
          <w:sz w:val="24"/>
          <w:szCs w:val="24"/>
        </w:rPr>
        <w:t xml:space="preserve"> от Регламент (ЕС) № 651/2014</w:t>
      </w:r>
      <w:r w:rsidR="00794DF6" w:rsidRPr="00D31450">
        <w:rPr>
          <w:rFonts w:ascii="Times New Roman" w:hAnsi="Times New Roman"/>
          <w:b/>
          <w:sz w:val="24"/>
          <w:szCs w:val="24"/>
        </w:rPr>
        <w:t xml:space="preserve"> </w:t>
      </w:r>
    </w:p>
    <w:p w14:paraId="42640A63" w14:textId="77777777" w:rsidR="00181616" w:rsidRPr="009F2233" w:rsidRDefault="00181616" w:rsidP="00954589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6826891" w14:textId="6E114140" w:rsidR="007D773B" w:rsidRPr="009F2233" w:rsidRDefault="00366289" w:rsidP="00954589">
      <w:pPr>
        <w:jc w:val="both"/>
        <w:rPr>
          <w:rFonts w:ascii="Times New Roman" w:hAnsi="Times New Roman"/>
          <w:bCs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I. </w:t>
      </w:r>
      <w:r w:rsidR="00F35E4C" w:rsidRPr="009F2233">
        <w:rPr>
          <w:rFonts w:ascii="Times New Roman" w:hAnsi="Times New Roman"/>
          <w:b/>
          <w:sz w:val="24"/>
          <w:szCs w:val="24"/>
        </w:rPr>
        <w:t>П</w:t>
      </w:r>
      <w:r w:rsidR="00153909" w:rsidRPr="009F2233">
        <w:rPr>
          <w:rFonts w:ascii="Times New Roman" w:hAnsi="Times New Roman"/>
          <w:b/>
          <w:sz w:val="24"/>
          <w:szCs w:val="24"/>
        </w:rPr>
        <w:t>ри условията на режим „</w:t>
      </w:r>
      <w:r w:rsidR="001A3325" w:rsidRPr="009F2233">
        <w:rPr>
          <w:rFonts w:ascii="Times New Roman" w:hAnsi="Times New Roman"/>
          <w:b/>
          <w:sz w:val="24"/>
          <w:szCs w:val="24"/>
        </w:rPr>
        <w:t xml:space="preserve">Помощи за проекти за научноизследователска и развойна </w:t>
      </w:r>
      <w:proofErr w:type="gramStart"/>
      <w:r w:rsidR="001A3325" w:rsidRPr="009F2233">
        <w:rPr>
          <w:rFonts w:ascii="Times New Roman" w:hAnsi="Times New Roman"/>
          <w:b/>
          <w:sz w:val="24"/>
          <w:szCs w:val="24"/>
        </w:rPr>
        <w:t>дейност</w:t>
      </w:r>
      <w:r w:rsidR="00153909" w:rsidRPr="009F2233">
        <w:rPr>
          <w:rFonts w:ascii="Times New Roman" w:hAnsi="Times New Roman"/>
          <w:b/>
          <w:sz w:val="24"/>
          <w:szCs w:val="24"/>
        </w:rPr>
        <w:t>“ съгласно</w:t>
      </w:r>
      <w:proofErr w:type="gramEnd"/>
      <w:r w:rsidR="00153909" w:rsidRPr="009F2233">
        <w:rPr>
          <w:rFonts w:ascii="Times New Roman" w:hAnsi="Times New Roman"/>
          <w:b/>
          <w:sz w:val="24"/>
          <w:szCs w:val="24"/>
        </w:rPr>
        <w:t xml:space="preserve"> чл. </w:t>
      </w:r>
      <w:r w:rsidR="001A3325" w:rsidRPr="009F2233">
        <w:rPr>
          <w:rFonts w:ascii="Times New Roman" w:hAnsi="Times New Roman"/>
          <w:b/>
          <w:sz w:val="24"/>
          <w:szCs w:val="24"/>
        </w:rPr>
        <w:t>25</w:t>
      </w:r>
      <w:r w:rsidR="00153909" w:rsidRPr="009F2233">
        <w:rPr>
          <w:rFonts w:ascii="Times New Roman" w:hAnsi="Times New Roman"/>
          <w:b/>
          <w:sz w:val="24"/>
          <w:szCs w:val="24"/>
        </w:rPr>
        <w:t xml:space="preserve"> от Регламент (ЕС) № 651/2014 на Комисията от 17 юни 2014 година, е необходимо да се спазват следните изисквания</w:t>
      </w:r>
      <w:r w:rsidR="007D773B" w:rsidRPr="009F2233">
        <w:rPr>
          <w:rFonts w:ascii="Times New Roman" w:hAnsi="Times New Roman"/>
          <w:b/>
          <w:sz w:val="24"/>
          <w:szCs w:val="24"/>
        </w:rPr>
        <w:t>:</w:t>
      </w:r>
    </w:p>
    <w:p w14:paraId="4EA34973" w14:textId="3573E655" w:rsidR="002A7526" w:rsidRPr="009F2233" w:rsidRDefault="00366289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  <w:lang w:val="en-US"/>
        </w:rPr>
        <w:t xml:space="preserve">1. </w:t>
      </w:r>
      <w:r w:rsidR="00091101" w:rsidRPr="009F2233">
        <w:rPr>
          <w:rFonts w:ascii="Times New Roman" w:hAnsi="Times New Roman"/>
          <w:b/>
          <w:sz w:val="24"/>
          <w:szCs w:val="24"/>
        </w:rPr>
        <w:t>Н</w:t>
      </w:r>
      <w:r w:rsidR="002A7526" w:rsidRPr="009F2233">
        <w:rPr>
          <w:rFonts w:ascii="Times New Roman" w:hAnsi="Times New Roman"/>
          <w:b/>
          <w:sz w:val="24"/>
          <w:szCs w:val="24"/>
        </w:rPr>
        <w:t>едопустим</w:t>
      </w:r>
      <w:r w:rsidR="00091101" w:rsidRPr="009F2233">
        <w:rPr>
          <w:rFonts w:ascii="Times New Roman" w:hAnsi="Times New Roman"/>
          <w:b/>
          <w:sz w:val="24"/>
          <w:szCs w:val="24"/>
        </w:rPr>
        <w:t>и</w:t>
      </w:r>
      <w:r w:rsidR="002A7526" w:rsidRPr="009F2233">
        <w:rPr>
          <w:rFonts w:ascii="Times New Roman" w:hAnsi="Times New Roman"/>
          <w:b/>
          <w:sz w:val="24"/>
          <w:szCs w:val="24"/>
        </w:rPr>
        <w:t xml:space="preserve"> </w:t>
      </w:r>
      <w:r w:rsidR="00091101" w:rsidRPr="009F2233">
        <w:rPr>
          <w:rFonts w:ascii="Times New Roman" w:hAnsi="Times New Roman"/>
          <w:b/>
          <w:sz w:val="24"/>
          <w:szCs w:val="24"/>
        </w:rPr>
        <w:t>кандидати при режим „</w:t>
      </w:r>
      <w:r w:rsidR="001A3325" w:rsidRPr="009F2233">
        <w:rPr>
          <w:rFonts w:ascii="Times New Roman" w:hAnsi="Times New Roman"/>
          <w:b/>
          <w:sz w:val="24"/>
          <w:szCs w:val="24"/>
        </w:rPr>
        <w:t xml:space="preserve">Помощи за проекти за научноизследователска и развойна </w:t>
      </w:r>
      <w:proofErr w:type="gramStart"/>
      <w:r w:rsidR="001A3325" w:rsidRPr="009F2233">
        <w:rPr>
          <w:rFonts w:ascii="Times New Roman" w:hAnsi="Times New Roman"/>
          <w:b/>
          <w:sz w:val="24"/>
          <w:szCs w:val="24"/>
        </w:rPr>
        <w:t>дейност</w:t>
      </w:r>
      <w:r w:rsidR="00091101" w:rsidRPr="009F2233">
        <w:rPr>
          <w:rFonts w:ascii="Times New Roman" w:hAnsi="Times New Roman"/>
          <w:b/>
          <w:sz w:val="24"/>
          <w:szCs w:val="24"/>
        </w:rPr>
        <w:t>“</w:t>
      </w:r>
      <w:proofErr w:type="gramEnd"/>
      <w:r w:rsidR="00091101" w:rsidRPr="009F2233">
        <w:rPr>
          <w:rFonts w:ascii="Times New Roman" w:hAnsi="Times New Roman"/>
          <w:b/>
          <w:sz w:val="24"/>
          <w:szCs w:val="24"/>
        </w:rPr>
        <w:t>:</w:t>
      </w:r>
    </w:p>
    <w:p w14:paraId="6945A51B" w14:textId="3A5822B2" w:rsidR="002A7526" w:rsidRPr="009F2233" w:rsidRDefault="00091101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К</w:t>
      </w:r>
      <w:r w:rsidR="002A7526" w:rsidRPr="009F2233">
        <w:rPr>
          <w:rFonts w:ascii="Times New Roman" w:hAnsi="Times New Roman"/>
          <w:b/>
          <w:sz w:val="24"/>
          <w:szCs w:val="24"/>
        </w:rPr>
        <w:t>андидатите</w:t>
      </w:r>
      <w:r w:rsidRPr="009F2233">
        <w:rPr>
          <w:rFonts w:ascii="Times New Roman" w:hAnsi="Times New Roman"/>
          <w:b/>
          <w:sz w:val="24"/>
          <w:szCs w:val="24"/>
        </w:rPr>
        <w:t xml:space="preserve"> </w:t>
      </w:r>
      <w:r w:rsidR="002A7526" w:rsidRPr="009F2233">
        <w:rPr>
          <w:rFonts w:ascii="Times New Roman" w:hAnsi="Times New Roman"/>
          <w:b/>
          <w:sz w:val="24"/>
          <w:szCs w:val="24"/>
        </w:rPr>
        <w:t xml:space="preserve">не могат да участват </w:t>
      </w:r>
      <w:r w:rsidR="002A7526" w:rsidRPr="009F2233">
        <w:rPr>
          <w:rFonts w:ascii="Times New Roman" w:hAnsi="Times New Roman"/>
          <w:sz w:val="24"/>
          <w:szCs w:val="24"/>
        </w:rPr>
        <w:t xml:space="preserve">в процедурата и да получат безвъзмездно финансиране, в случай че попадат в </w:t>
      </w:r>
      <w:r w:rsidR="002A7526" w:rsidRPr="009F2233">
        <w:rPr>
          <w:rFonts w:ascii="Times New Roman" w:hAnsi="Times New Roman"/>
          <w:b/>
          <w:sz w:val="24"/>
          <w:szCs w:val="24"/>
        </w:rPr>
        <w:t>забранителните режими</w:t>
      </w:r>
      <w:r w:rsidR="002A7526" w:rsidRPr="009F2233">
        <w:rPr>
          <w:rFonts w:ascii="Times New Roman" w:hAnsi="Times New Roman"/>
          <w:sz w:val="24"/>
          <w:szCs w:val="24"/>
        </w:rPr>
        <w:t xml:space="preserve"> съгласно чл. 1, </w:t>
      </w:r>
      <w:proofErr w:type="spellStart"/>
      <w:r w:rsidR="002A7526" w:rsidRPr="009F2233">
        <w:rPr>
          <w:rFonts w:ascii="Times New Roman" w:hAnsi="Times New Roman"/>
          <w:sz w:val="24"/>
          <w:szCs w:val="24"/>
        </w:rPr>
        <w:t>пар</w:t>
      </w:r>
      <w:proofErr w:type="spellEnd"/>
      <w:r w:rsidR="002A7526" w:rsidRPr="009F2233">
        <w:rPr>
          <w:rFonts w:ascii="Times New Roman" w:hAnsi="Times New Roman"/>
          <w:sz w:val="24"/>
          <w:szCs w:val="24"/>
        </w:rPr>
        <w:t xml:space="preserve">. 3 на </w:t>
      </w:r>
      <w:r w:rsidR="002A7526" w:rsidRPr="009F2233">
        <w:rPr>
          <w:rFonts w:ascii="Times New Roman" w:hAnsi="Times New Roman"/>
          <w:bCs/>
          <w:sz w:val="24"/>
          <w:szCs w:val="24"/>
        </w:rPr>
        <w:t xml:space="preserve">Регламент на Комисията (ЕС) № 651/2014 </w:t>
      </w:r>
      <w:r w:rsidR="002A7526" w:rsidRPr="009F2233">
        <w:rPr>
          <w:rFonts w:ascii="Times New Roman" w:hAnsi="Times New Roman"/>
          <w:sz w:val="24"/>
          <w:szCs w:val="24"/>
        </w:rPr>
        <w:t>и по-конкретно, ако:</w:t>
      </w:r>
    </w:p>
    <w:p w14:paraId="2FDBDEF7" w14:textId="77777777" w:rsidR="002A7526" w:rsidRPr="009F2233" w:rsidRDefault="002A7526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А)</w:t>
      </w:r>
      <w:r w:rsidRPr="009F2233">
        <w:rPr>
          <w:rFonts w:ascii="Times New Roman" w:hAnsi="Times New Roman"/>
          <w:sz w:val="24"/>
          <w:szCs w:val="24"/>
        </w:rPr>
        <w:t xml:space="preserve"> </w:t>
      </w:r>
      <w:r w:rsidRPr="009F2233">
        <w:rPr>
          <w:rFonts w:ascii="Times New Roman" w:hAnsi="Times New Roman"/>
          <w:b/>
          <w:sz w:val="24"/>
          <w:szCs w:val="24"/>
        </w:rPr>
        <w:t>Икономическата дейността</w:t>
      </w:r>
      <w:r w:rsidRPr="009F2233">
        <w:rPr>
          <w:rFonts w:ascii="Times New Roman" w:hAnsi="Times New Roman"/>
          <w:sz w:val="24"/>
          <w:szCs w:val="24"/>
        </w:rPr>
        <w:t>,</w:t>
      </w:r>
      <w:r w:rsidRPr="009F2233">
        <w:rPr>
          <w:rFonts w:ascii="Times New Roman" w:hAnsi="Times New Roman"/>
          <w:b/>
          <w:sz w:val="24"/>
          <w:szCs w:val="24"/>
        </w:rPr>
        <w:t xml:space="preserve"> за която кандидатстват се отнася до</w:t>
      </w:r>
      <w:r w:rsidRPr="009F2233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  <w:r w:rsidRPr="009F2233">
        <w:rPr>
          <w:rFonts w:ascii="Times New Roman" w:hAnsi="Times New Roman"/>
          <w:b/>
          <w:sz w:val="24"/>
          <w:szCs w:val="24"/>
        </w:rPr>
        <w:t>:</w:t>
      </w:r>
    </w:p>
    <w:p w14:paraId="2612E35A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сектора на преработка и продажба на селскостопански продукти, в следните случаи:</w:t>
      </w:r>
    </w:p>
    <w:p w14:paraId="3DA8B841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- когато размерът на помощта е определен въз основа на цената или количеството на тези продукти, които се изкупуват от първичните производители или се предлагат на пазара от съответните предприятия; или</w:t>
      </w:r>
    </w:p>
    <w:p w14:paraId="0CB1772C" w14:textId="77777777" w:rsidR="002A7526" w:rsidRPr="00F261DD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- когато помощта е обвързана със задължението да бъде прехвърлена частично или </w:t>
      </w:r>
      <w:r w:rsidRPr="00F261DD">
        <w:rPr>
          <w:rFonts w:ascii="Times New Roman" w:hAnsi="Times New Roman"/>
          <w:sz w:val="24"/>
          <w:szCs w:val="24"/>
        </w:rPr>
        <w:t>изцяло на първичните производи</w:t>
      </w:r>
      <w:r w:rsidRPr="00F261DD">
        <w:rPr>
          <w:rFonts w:ascii="Times New Roman" w:hAnsi="Times New Roman"/>
          <w:sz w:val="24"/>
          <w:szCs w:val="24"/>
        </w:rPr>
        <w:softHyphen/>
        <w:t>тели;</w:t>
      </w:r>
    </w:p>
    <w:p w14:paraId="2731B101" w14:textId="7AD148A2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F261DD">
        <w:rPr>
          <w:rFonts w:ascii="Times New Roman" w:hAnsi="Times New Roman"/>
          <w:b/>
          <w:sz w:val="24"/>
          <w:szCs w:val="24"/>
        </w:rPr>
        <w:t xml:space="preserve">А1) </w:t>
      </w:r>
      <w:r w:rsidR="00DB3983" w:rsidRPr="00F261DD">
        <w:rPr>
          <w:rFonts w:ascii="Times New Roman" w:hAnsi="Times New Roman"/>
          <w:b/>
          <w:sz w:val="24"/>
          <w:szCs w:val="24"/>
        </w:rPr>
        <w:t>Проектното предложение</w:t>
      </w:r>
      <w:r w:rsidRPr="00F261DD">
        <w:rPr>
          <w:rFonts w:ascii="Times New Roman" w:hAnsi="Times New Roman"/>
          <w:sz w:val="24"/>
          <w:szCs w:val="24"/>
        </w:rPr>
        <w:t xml:space="preserve"> не съдържа дейности за улесняване на закриването на неконкурентоспособни въглищни мини в съответствие с Решение 2010/787/ЕС на Съвета.</w:t>
      </w:r>
    </w:p>
    <w:p w14:paraId="386031A1" w14:textId="77777777" w:rsidR="002A7526" w:rsidRPr="009F2233" w:rsidRDefault="002A7526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Б) Са предприятия, които:</w:t>
      </w:r>
    </w:p>
    <w:p w14:paraId="618D7093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са обект на неизпълнено разпореждане за възстановяване вследствие на предходно решение на Европейската комисия, с което дадена помощ се обявява за неправомерна и несъвместима с вътрешния пазар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9F2233">
        <w:rPr>
          <w:rFonts w:ascii="Times New Roman" w:hAnsi="Times New Roman"/>
          <w:sz w:val="24"/>
          <w:szCs w:val="24"/>
        </w:rPr>
        <w:t>;</w:t>
      </w:r>
    </w:p>
    <w:p w14:paraId="0A24A507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са „предприятия в затруднено положение“, по отношение на които е изпълнено поне едно от следните обстоятелства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3"/>
      </w:r>
      <w:r w:rsidRPr="009F2233">
        <w:rPr>
          <w:rFonts w:ascii="Times New Roman" w:hAnsi="Times New Roman"/>
          <w:sz w:val="24"/>
          <w:szCs w:val="24"/>
        </w:rPr>
        <w:t>:</w:t>
      </w:r>
    </w:p>
    <w:p w14:paraId="3ADBA70E" w14:textId="1314A1C3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lastRenderedPageBreak/>
        <w:t>1. В случай на акционерно дружество, дружество с ограничена отговорност, командитно дружество с акции или кооперация или други дружества по Приложение I към Директива 2013/34/ЕС (</w:t>
      </w:r>
      <w:r w:rsidR="00B74934" w:rsidRPr="009F2233">
        <w:rPr>
          <w:rFonts w:ascii="Times New Roman" w:hAnsi="Times New Roman"/>
          <w:sz w:val="24"/>
          <w:szCs w:val="24"/>
        </w:rPr>
        <w:t>различно от</w:t>
      </w:r>
      <w:r w:rsidRPr="009F2233">
        <w:rPr>
          <w:rFonts w:ascii="Times New Roman" w:hAnsi="Times New Roman"/>
          <w:sz w:val="24"/>
          <w:szCs w:val="24"/>
        </w:rPr>
        <w:t xml:space="preserve"> МСП, което съществува по-малко от три години), когато неговият записан акционерен капитал е намалял с повече от половината поради натрупани загуби. Такъв е случаят, когато приспадането на натрупаните загуби от резервите (и всички други елементи, които по принцип се считат за част от собствения капитал на дружеството) води до отрицателен кумулативен резултат, който </w:t>
      </w:r>
      <w:r w:rsidR="00B74934" w:rsidRPr="009F2233">
        <w:rPr>
          <w:rFonts w:ascii="Times New Roman" w:hAnsi="Times New Roman"/>
          <w:sz w:val="24"/>
          <w:szCs w:val="24"/>
        </w:rPr>
        <w:t xml:space="preserve">надвишава </w:t>
      </w:r>
      <w:r w:rsidRPr="009F2233">
        <w:rPr>
          <w:rFonts w:ascii="Times New Roman" w:hAnsi="Times New Roman"/>
          <w:sz w:val="24"/>
          <w:szCs w:val="24"/>
        </w:rPr>
        <w:t xml:space="preserve">половината от записания акционерен капитал. За целите на настоящата разпоредба под понятието „дружество с ограничена отговорност" се разбира по-специално видовете дружества, </w:t>
      </w:r>
      <w:r w:rsidR="00B74934" w:rsidRPr="009F2233">
        <w:rPr>
          <w:rFonts w:ascii="Times New Roman" w:hAnsi="Times New Roman"/>
          <w:sz w:val="24"/>
          <w:szCs w:val="24"/>
        </w:rPr>
        <w:t>упоменати</w:t>
      </w:r>
      <w:r w:rsidRPr="009F2233">
        <w:rPr>
          <w:rFonts w:ascii="Times New Roman" w:hAnsi="Times New Roman"/>
          <w:sz w:val="24"/>
          <w:szCs w:val="24"/>
        </w:rPr>
        <w:t xml:space="preserve"> в приложение I към Директива 2013/34/ЕС</w:t>
      </w:r>
      <w:r w:rsidR="00B74934" w:rsidRPr="009F2233">
        <w:rPr>
          <w:rFonts w:ascii="Times New Roman" w:hAnsi="Times New Roman"/>
          <w:sz w:val="24"/>
          <w:szCs w:val="24"/>
        </w:rPr>
        <w:t xml:space="preserve"> на Европейския парламент и на Съвета</w:t>
      </w:r>
      <w:r w:rsidRPr="009F2233">
        <w:rPr>
          <w:rFonts w:ascii="Times New Roman" w:hAnsi="Times New Roman"/>
          <w:sz w:val="24"/>
          <w:szCs w:val="24"/>
        </w:rPr>
        <w:t xml:space="preserve">, а „акционерен капитал" включва, </w:t>
      </w:r>
      <w:r w:rsidR="00B74934" w:rsidRPr="009F2233">
        <w:rPr>
          <w:rFonts w:ascii="Times New Roman" w:hAnsi="Times New Roman"/>
          <w:sz w:val="24"/>
          <w:szCs w:val="24"/>
        </w:rPr>
        <w:t>ако</w:t>
      </w:r>
      <w:r w:rsidRPr="009F2233">
        <w:rPr>
          <w:rFonts w:ascii="Times New Roman" w:hAnsi="Times New Roman"/>
          <w:sz w:val="24"/>
          <w:szCs w:val="24"/>
        </w:rPr>
        <w:t xml:space="preserve"> е уместно, </w:t>
      </w:r>
      <w:r w:rsidR="00B74934" w:rsidRPr="009F2233">
        <w:rPr>
          <w:rFonts w:ascii="Times New Roman" w:hAnsi="Times New Roman"/>
          <w:sz w:val="24"/>
          <w:szCs w:val="24"/>
        </w:rPr>
        <w:t xml:space="preserve">всякакви </w:t>
      </w:r>
      <w:r w:rsidRPr="009F2233">
        <w:rPr>
          <w:rFonts w:ascii="Times New Roman" w:hAnsi="Times New Roman"/>
          <w:sz w:val="24"/>
          <w:szCs w:val="24"/>
        </w:rPr>
        <w:t xml:space="preserve">премии от </w:t>
      </w:r>
      <w:r w:rsidR="00B74934" w:rsidRPr="009F2233">
        <w:rPr>
          <w:rFonts w:ascii="Times New Roman" w:hAnsi="Times New Roman"/>
          <w:sz w:val="24"/>
          <w:szCs w:val="24"/>
        </w:rPr>
        <w:t>емисии</w:t>
      </w:r>
      <w:r w:rsidRPr="009F2233">
        <w:rPr>
          <w:rFonts w:ascii="Times New Roman" w:hAnsi="Times New Roman"/>
          <w:sz w:val="24"/>
          <w:szCs w:val="24"/>
        </w:rPr>
        <w:t>.</w:t>
      </w:r>
    </w:p>
    <w:p w14:paraId="17A48FB1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Преценката относно обстоятелството по т. 1 се извършва въз основа на данните за последната приключена финансова година, както следва:</w:t>
      </w:r>
    </w:p>
    <w:p w14:paraId="1F293758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Едно предприятие ще бъде считано за </w:t>
      </w:r>
      <w:r w:rsidRPr="009F2233">
        <w:rPr>
          <w:rFonts w:ascii="Times New Roman" w:hAnsi="Times New Roman"/>
          <w:sz w:val="24"/>
          <w:szCs w:val="24"/>
          <w:lang w:val="en-US"/>
        </w:rPr>
        <w:t>“</w:t>
      </w:r>
      <w:r w:rsidRPr="009F2233">
        <w:rPr>
          <w:rFonts w:ascii="Times New Roman" w:hAnsi="Times New Roman"/>
          <w:sz w:val="24"/>
          <w:szCs w:val="24"/>
        </w:rPr>
        <w:t xml:space="preserve">предприятие в затруднено положение“, когато сумата на т. </w:t>
      </w:r>
      <w:r w:rsidRPr="009F2233">
        <w:rPr>
          <w:rFonts w:ascii="Times New Roman" w:hAnsi="Times New Roman"/>
          <w:sz w:val="24"/>
          <w:szCs w:val="24"/>
          <w:lang w:val="en-US"/>
        </w:rPr>
        <w:t>III</w:t>
      </w:r>
      <w:r w:rsidRPr="009F2233">
        <w:rPr>
          <w:rFonts w:ascii="Times New Roman" w:hAnsi="Times New Roman"/>
          <w:sz w:val="24"/>
          <w:szCs w:val="24"/>
        </w:rPr>
        <w:t xml:space="preserve"> „Резерв от последващи оценки“, т. </w:t>
      </w:r>
      <w:r w:rsidRPr="009F2233">
        <w:rPr>
          <w:rFonts w:ascii="Times New Roman" w:hAnsi="Times New Roman"/>
          <w:sz w:val="24"/>
          <w:szCs w:val="24"/>
          <w:lang w:val="en-US"/>
        </w:rPr>
        <w:t>IV</w:t>
      </w:r>
      <w:r w:rsidRPr="009F2233">
        <w:rPr>
          <w:rFonts w:ascii="Times New Roman" w:hAnsi="Times New Roman"/>
          <w:sz w:val="24"/>
          <w:szCs w:val="24"/>
        </w:rPr>
        <w:t xml:space="preserve"> „Резерви“, т. </w:t>
      </w:r>
      <w:r w:rsidRPr="009F2233">
        <w:rPr>
          <w:rFonts w:ascii="Times New Roman" w:hAnsi="Times New Roman"/>
          <w:sz w:val="24"/>
          <w:szCs w:val="24"/>
          <w:lang w:val="en-US"/>
        </w:rPr>
        <w:t>V</w:t>
      </w:r>
      <w:r w:rsidRPr="009F2233">
        <w:rPr>
          <w:rFonts w:ascii="Times New Roman" w:hAnsi="Times New Roman"/>
          <w:sz w:val="24"/>
          <w:szCs w:val="24"/>
        </w:rPr>
        <w:t xml:space="preserve"> „Натрупана печалба (загуба) от минали години“ и т. </w:t>
      </w:r>
      <w:r w:rsidRPr="009F2233">
        <w:rPr>
          <w:rFonts w:ascii="Times New Roman" w:hAnsi="Times New Roman"/>
          <w:sz w:val="24"/>
          <w:szCs w:val="24"/>
          <w:lang w:val="en-US"/>
        </w:rPr>
        <w:t>VI</w:t>
      </w:r>
      <w:r w:rsidRPr="009F2233">
        <w:rPr>
          <w:rFonts w:ascii="Times New Roman" w:hAnsi="Times New Roman"/>
          <w:sz w:val="24"/>
          <w:szCs w:val="24"/>
        </w:rPr>
        <w:t xml:space="preserve"> „Текуща печалба (загуба)“ от раздел А „Собствен капитал“ на пасивите, описани в Счетоводния баланс на съответното предприятие </w:t>
      </w:r>
      <w:r w:rsidRPr="009F2233">
        <w:rPr>
          <w:rFonts w:ascii="Times New Roman" w:hAnsi="Times New Roman"/>
          <w:b/>
          <w:sz w:val="24"/>
          <w:szCs w:val="24"/>
        </w:rPr>
        <w:t>е отрицателна стойност</w:t>
      </w:r>
      <w:r w:rsidRPr="009F2233">
        <w:rPr>
          <w:rFonts w:ascii="Times New Roman" w:hAnsi="Times New Roman"/>
          <w:sz w:val="24"/>
          <w:szCs w:val="24"/>
        </w:rPr>
        <w:t xml:space="preserve">, която надвишава 50% от сумата на т. </w:t>
      </w:r>
      <w:r w:rsidRPr="009F2233">
        <w:rPr>
          <w:rFonts w:ascii="Times New Roman" w:hAnsi="Times New Roman"/>
          <w:sz w:val="24"/>
          <w:szCs w:val="24"/>
          <w:lang w:val="en-US"/>
        </w:rPr>
        <w:t>I</w:t>
      </w:r>
      <w:r w:rsidRPr="009F2233">
        <w:rPr>
          <w:rFonts w:ascii="Times New Roman" w:hAnsi="Times New Roman"/>
          <w:sz w:val="24"/>
          <w:szCs w:val="24"/>
        </w:rPr>
        <w:t xml:space="preserve"> „Записан капитал“ и т. </w:t>
      </w:r>
      <w:r w:rsidRPr="009F2233">
        <w:rPr>
          <w:rFonts w:ascii="Times New Roman" w:hAnsi="Times New Roman"/>
          <w:sz w:val="24"/>
          <w:szCs w:val="24"/>
          <w:lang w:val="en-US"/>
        </w:rPr>
        <w:t>II</w:t>
      </w:r>
      <w:r w:rsidRPr="009F2233">
        <w:rPr>
          <w:rFonts w:ascii="Times New Roman" w:hAnsi="Times New Roman"/>
          <w:sz w:val="24"/>
          <w:szCs w:val="24"/>
        </w:rPr>
        <w:t xml:space="preserve"> „Премии от емисии“ от раздел А „Собствен капитал“ на пасивите, описани в Счетоводния баланс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4"/>
      </w:r>
      <w:r w:rsidRPr="009F2233">
        <w:rPr>
          <w:rFonts w:ascii="Times New Roman" w:hAnsi="Times New Roman"/>
          <w:sz w:val="24"/>
          <w:szCs w:val="24"/>
        </w:rPr>
        <w:t>.</w:t>
      </w:r>
    </w:p>
    <w:p w14:paraId="0B3CEDBC" w14:textId="0D9BDFF2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2. В случай на събирателно дружество или командитно дружество, или други лица по Приложение II към Директива 2013/34/ЕС (което не е МСП, което съществува</w:t>
      </w:r>
      <w:r w:rsidR="0044044F" w:rsidRPr="009F2233">
        <w:rPr>
          <w:rFonts w:ascii="Times New Roman" w:hAnsi="Times New Roman"/>
          <w:sz w:val="24"/>
          <w:szCs w:val="24"/>
        </w:rPr>
        <w:t xml:space="preserve"> от</w:t>
      </w:r>
      <w:r w:rsidRPr="009F2233">
        <w:rPr>
          <w:rFonts w:ascii="Times New Roman" w:hAnsi="Times New Roman"/>
          <w:sz w:val="24"/>
          <w:szCs w:val="24"/>
        </w:rPr>
        <w:t xml:space="preserve"> по-малко от три години), когато капиталът, вписан в баланса на дружеството, е намалял с повече от половината поради натрупани загуби. За целите на настоящата разпоредба под понятието „дружество, при което поне някои </w:t>
      </w:r>
      <w:r w:rsidR="008368B5" w:rsidRPr="009F2233">
        <w:rPr>
          <w:rFonts w:ascii="Times New Roman" w:hAnsi="Times New Roman"/>
          <w:sz w:val="24"/>
          <w:szCs w:val="24"/>
        </w:rPr>
        <w:t xml:space="preserve">негови </w:t>
      </w:r>
      <w:r w:rsidRPr="009F2233">
        <w:rPr>
          <w:rFonts w:ascii="Times New Roman" w:hAnsi="Times New Roman"/>
          <w:sz w:val="24"/>
          <w:szCs w:val="24"/>
        </w:rPr>
        <w:t>съдружници носят неограничена отговорност за задълженията на дружеството", се разбира по-специално типовете дружества, посочени в приложение II към Директива 2013/34/ЕС.</w:t>
      </w:r>
    </w:p>
    <w:p w14:paraId="3B78F2B4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3. Когато предприятието е в процедура по колективна несъстоятелност или отговаря на критериите на своето вътрешно право, за да бъде обект на процедура по колективна несъстоятелност по искане на неговите кредитори.</w:t>
      </w:r>
    </w:p>
    <w:p w14:paraId="2A03C014" w14:textId="68293699" w:rsidR="002A7526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4. Когато предприятието е получило помощ за оздравяване и все още не е възстановило заема или не е прекратило гаранцията, или е получило помощ за преструктуриране и все още е обект на план за преструктуриране.</w:t>
      </w:r>
    </w:p>
    <w:p w14:paraId="6CEC8D30" w14:textId="31535E72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Изискванията по т. Б) се прилагат и на равнище група – както за предприятието-кандидат, така и за предприятията, с които кандидатът формира група предприятия (разгледани в цялост). Преди сключване на </w:t>
      </w:r>
      <w:r w:rsidR="00B560A0" w:rsidRPr="009F2233">
        <w:rPr>
          <w:rFonts w:ascii="Times New Roman" w:hAnsi="Times New Roman"/>
          <w:sz w:val="24"/>
          <w:szCs w:val="24"/>
        </w:rPr>
        <w:t xml:space="preserve">административния </w:t>
      </w:r>
      <w:r w:rsidRPr="009F2233">
        <w:rPr>
          <w:rFonts w:ascii="Times New Roman" w:hAnsi="Times New Roman"/>
          <w:sz w:val="24"/>
          <w:szCs w:val="24"/>
        </w:rPr>
        <w:t xml:space="preserve">договор се извършва проверка (включително за наличие на „предприятие в затруднено положение“ по смисъла на чл. 2, </w:t>
      </w:r>
      <w:proofErr w:type="spellStart"/>
      <w:r w:rsidRPr="009F2233">
        <w:rPr>
          <w:rFonts w:ascii="Times New Roman" w:hAnsi="Times New Roman"/>
          <w:sz w:val="24"/>
          <w:szCs w:val="24"/>
        </w:rPr>
        <w:t>пар</w:t>
      </w:r>
      <w:proofErr w:type="spellEnd"/>
      <w:r w:rsidRPr="009F2233">
        <w:rPr>
          <w:rFonts w:ascii="Times New Roman" w:hAnsi="Times New Roman"/>
          <w:sz w:val="24"/>
          <w:szCs w:val="24"/>
        </w:rPr>
        <w:t xml:space="preserve">. 18 от Регламент (ЕС) № 651/2014) на кандидата и лицата, с които същите са свързани, формирайки група, въз основа на подадената декларация и чрез извършване на служебна </w:t>
      </w:r>
      <w:r w:rsidRPr="009F2233">
        <w:rPr>
          <w:rFonts w:ascii="Times New Roman" w:hAnsi="Times New Roman"/>
          <w:sz w:val="24"/>
          <w:szCs w:val="24"/>
        </w:rPr>
        <w:lastRenderedPageBreak/>
        <w:t>проверка на наличната информация в публичните регистри (вкл. ТР и регистър на ЮЛНЦ). Проверката и определянето на „група“ ще се извършва по отношение на предприятие майка и всички негови дъщерни предприятия, като: "предприятие майка" означава предприятие, което контролира едно или повече дъщерни предприятия и съответно „дъщерно предприятие" означава предприятие, което се контролира от предприятие майка, включително дъщерно предприятие на крайно предприятие майка. Проверката включва преценка във връзка с наличието на икономически субект (кандидат), имащ общ източник на контрол на основание не само представения консолидиран финансов отчет (за група предприятия), но и наличната информация в публичните регистри (вкл. ТР и регистър на ЮЛНЦ), отчитайки възможността общия източник на контрол да се осъществява, както от предприятия, така и от физически лица, участващи в управлението им.</w:t>
      </w:r>
    </w:p>
    <w:p w14:paraId="70C33D45" w14:textId="4D2B433D" w:rsidR="00825947" w:rsidRPr="009F2233" w:rsidRDefault="000A0910" w:rsidP="000A0910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 xml:space="preserve">Финансиране по процедурата могат да получават единствено проектни предложения, които отговарят на изискванията </w:t>
      </w:r>
      <w:r w:rsidR="00825947" w:rsidRPr="009F2233">
        <w:rPr>
          <w:rFonts w:ascii="Times New Roman" w:hAnsi="Times New Roman"/>
          <w:sz w:val="24"/>
          <w:szCs w:val="24"/>
        </w:rPr>
        <w:t>за стимулиращ ефект, респективно са подали Формуляр за кандидатстване съдържащ поне информацията посочена в</w:t>
      </w:r>
      <w:r w:rsidRPr="009F2233">
        <w:rPr>
          <w:rFonts w:ascii="Times New Roman" w:hAnsi="Times New Roman"/>
          <w:sz w:val="24"/>
          <w:szCs w:val="24"/>
        </w:rPr>
        <w:t xml:space="preserve"> чл. 6, </w:t>
      </w:r>
      <w:proofErr w:type="spellStart"/>
      <w:r w:rsidRPr="009F2233">
        <w:rPr>
          <w:rFonts w:ascii="Times New Roman" w:hAnsi="Times New Roman"/>
          <w:sz w:val="24"/>
          <w:szCs w:val="24"/>
        </w:rPr>
        <w:t>пар</w:t>
      </w:r>
      <w:proofErr w:type="spellEnd"/>
      <w:r w:rsidRPr="009F2233">
        <w:rPr>
          <w:rFonts w:ascii="Times New Roman" w:hAnsi="Times New Roman"/>
          <w:sz w:val="24"/>
          <w:szCs w:val="24"/>
        </w:rPr>
        <w:t>. 2 от Регламент 651/2014</w:t>
      </w:r>
      <w:r w:rsidR="00825947" w:rsidRPr="009F2233">
        <w:rPr>
          <w:rFonts w:ascii="Times New Roman" w:hAnsi="Times New Roman"/>
          <w:sz w:val="24"/>
          <w:szCs w:val="24"/>
        </w:rPr>
        <w:t>.</w:t>
      </w:r>
    </w:p>
    <w:p w14:paraId="49F1670B" w14:textId="4E390229" w:rsidR="002A7526" w:rsidRPr="009F2233" w:rsidRDefault="002A7526" w:rsidP="00954589">
      <w:pPr>
        <w:jc w:val="both"/>
        <w:rPr>
          <w:rFonts w:ascii="Times New Roman" w:hAnsi="Times New Roman"/>
          <w:b/>
          <w:sz w:val="24"/>
          <w:szCs w:val="24"/>
        </w:rPr>
      </w:pPr>
      <w:r w:rsidRPr="009F2233">
        <w:rPr>
          <w:rFonts w:ascii="Times New Roman" w:hAnsi="Times New Roman"/>
          <w:b/>
          <w:sz w:val="24"/>
          <w:szCs w:val="24"/>
        </w:rPr>
        <w:t>В) Финансирането представлява:</w:t>
      </w:r>
    </w:p>
    <w:p w14:paraId="4D0AED88" w14:textId="77777777" w:rsidR="002A752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помощи за дейности, свързани с износ към трети държави или държави членки, по-специално помощи, които са пряко свързани с изнесените количества, с изграждането и функционирането на дистрибуторска мрежа или с други текущи разходи във връзка с износа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9F2233">
        <w:rPr>
          <w:rFonts w:ascii="Times New Roman" w:hAnsi="Times New Roman"/>
          <w:sz w:val="24"/>
          <w:szCs w:val="24"/>
        </w:rPr>
        <w:t>;</w:t>
      </w:r>
    </w:p>
    <w:p w14:paraId="7C4B2E30" w14:textId="00BADDD7" w:rsidR="003B1AA6" w:rsidRPr="009F2233" w:rsidRDefault="002A7526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• помощ, поставена в зависимост от използване на местни (национално произведени стоки и услуги) за сметка на вносни стоки</w:t>
      </w:r>
      <w:r w:rsidRPr="009F2233">
        <w:rPr>
          <w:rFonts w:ascii="Times New Roman" w:hAnsi="Times New Roman"/>
          <w:sz w:val="24"/>
          <w:szCs w:val="24"/>
          <w:vertAlign w:val="superscript"/>
        </w:rPr>
        <w:footnoteReference w:id="6"/>
      </w:r>
      <w:r w:rsidR="00BC696D" w:rsidRPr="009F2233">
        <w:rPr>
          <w:rFonts w:ascii="Times New Roman" w:hAnsi="Times New Roman"/>
          <w:sz w:val="24"/>
          <w:szCs w:val="24"/>
        </w:rPr>
        <w:t>.</w:t>
      </w:r>
    </w:p>
    <w:p w14:paraId="3917B98C" w14:textId="77777777" w:rsidR="00366289" w:rsidRPr="003208D3" w:rsidRDefault="00366289" w:rsidP="00366289">
      <w:pPr>
        <w:jc w:val="both"/>
        <w:rPr>
          <w:rFonts w:ascii="Times New Roman" w:hAnsi="Times New Roman"/>
          <w:b/>
          <w:sz w:val="24"/>
          <w:szCs w:val="24"/>
        </w:rPr>
      </w:pPr>
      <w:r w:rsidRPr="003208D3">
        <w:rPr>
          <w:rFonts w:ascii="Times New Roman" w:hAnsi="Times New Roman"/>
          <w:b/>
          <w:sz w:val="24"/>
          <w:szCs w:val="24"/>
        </w:rPr>
        <w:t>2. Максимален размер на помощта:</w:t>
      </w:r>
    </w:p>
    <w:p w14:paraId="5E36038E" w14:textId="4DC50FF9" w:rsidR="00366289" w:rsidRPr="003208D3" w:rsidRDefault="00366289" w:rsidP="00366289">
      <w:pPr>
        <w:jc w:val="both"/>
        <w:rPr>
          <w:rFonts w:ascii="Times New Roman" w:hAnsi="Times New Roman"/>
          <w:sz w:val="24"/>
          <w:szCs w:val="24"/>
        </w:rPr>
      </w:pPr>
      <w:r w:rsidRPr="003208D3">
        <w:rPr>
          <w:rFonts w:ascii="Times New Roman" w:hAnsi="Times New Roman"/>
          <w:sz w:val="24"/>
          <w:szCs w:val="24"/>
        </w:rPr>
        <w:t>Безвъзмездното финансиране, за което се кандидатства под режим „Помощи за проекти за научноизследователска и развойна дейност“, заедно с получената държавна/минимална помощ от други източници, не може да надхвърля:</w:t>
      </w:r>
    </w:p>
    <w:p w14:paraId="13053BF0" w14:textId="01F7755A" w:rsidR="00366289" w:rsidRPr="0013344A" w:rsidRDefault="00366289" w:rsidP="00366289">
      <w:pPr>
        <w:jc w:val="both"/>
        <w:rPr>
          <w:rFonts w:ascii="Times New Roman" w:hAnsi="Times New Roman"/>
          <w:sz w:val="24"/>
          <w:szCs w:val="24"/>
        </w:rPr>
      </w:pPr>
      <w:r w:rsidRPr="003208D3">
        <w:rPr>
          <w:rFonts w:ascii="Times New Roman" w:hAnsi="Times New Roman"/>
          <w:sz w:val="24"/>
          <w:szCs w:val="24"/>
        </w:rPr>
        <w:t xml:space="preserve">А) Максимално допустимия размер на помощта по чл. 4, </w:t>
      </w:r>
      <w:proofErr w:type="spellStart"/>
      <w:r w:rsidRPr="003208D3">
        <w:rPr>
          <w:rFonts w:ascii="Times New Roman" w:hAnsi="Times New Roman"/>
          <w:sz w:val="24"/>
          <w:szCs w:val="24"/>
        </w:rPr>
        <w:t>пар</w:t>
      </w:r>
      <w:proofErr w:type="spellEnd"/>
      <w:r w:rsidRPr="003208D3">
        <w:rPr>
          <w:rFonts w:ascii="Times New Roman" w:hAnsi="Times New Roman"/>
          <w:sz w:val="24"/>
          <w:szCs w:val="24"/>
        </w:rPr>
        <w:t>. 1, буква „и“ от Регламент на Комисията (ЕС) № 651/2014</w:t>
      </w:r>
      <w:r w:rsidR="003A455D" w:rsidRPr="0013344A">
        <w:rPr>
          <w:rFonts w:ascii="Times New Roman" w:hAnsi="Times New Roman"/>
          <w:sz w:val="24"/>
          <w:szCs w:val="24"/>
        </w:rPr>
        <w:t>, по-конкретно</w:t>
      </w:r>
      <w:r w:rsidRPr="0013344A">
        <w:rPr>
          <w:rFonts w:ascii="Times New Roman" w:hAnsi="Times New Roman"/>
          <w:sz w:val="24"/>
          <w:szCs w:val="24"/>
        </w:rPr>
        <w:t>:</w:t>
      </w:r>
    </w:p>
    <w:p w14:paraId="17EE6B5F" w14:textId="0333EE87" w:rsidR="00366289" w:rsidRPr="009F2233" w:rsidRDefault="00366289" w:rsidP="00366289">
      <w:pPr>
        <w:jc w:val="both"/>
        <w:rPr>
          <w:rFonts w:ascii="Times New Roman" w:hAnsi="Times New Roman"/>
          <w:sz w:val="24"/>
          <w:szCs w:val="24"/>
        </w:rPr>
      </w:pPr>
      <w:r w:rsidRPr="0013344A">
        <w:rPr>
          <w:rFonts w:ascii="Times New Roman" w:hAnsi="Times New Roman"/>
          <w:sz w:val="24"/>
          <w:szCs w:val="24"/>
        </w:rPr>
        <w:t xml:space="preserve">А1) Ако проектът е </w:t>
      </w:r>
      <w:r w:rsidR="00E643B9" w:rsidRPr="0013344A">
        <w:rPr>
          <w:rFonts w:ascii="Times New Roman" w:hAnsi="Times New Roman"/>
          <w:sz w:val="24"/>
          <w:szCs w:val="24"/>
        </w:rPr>
        <w:t xml:space="preserve">основно </w:t>
      </w:r>
      <w:r w:rsidRPr="0013344A">
        <w:rPr>
          <w:rFonts w:ascii="Times New Roman" w:hAnsi="Times New Roman"/>
          <w:sz w:val="24"/>
          <w:szCs w:val="24"/>
        </w:rPr>
        <w:t xml:space="preserve">за индустриални научни изследвания: </w:t>
      </w:r>
      <w:r w:rsidR="00E643B9" w:rsidRPr="0013344A">
        <w:rPr>
          <w:rFonts w:ascii="Times New Roman" w:hAnsi="Times New Roman"/>
          <w:sz w:val="24"/>
          <w:szCs w:val="24"/>
        </w:rPr>
        <w:t xml:space="preserve">35 </w:t>
      </w:r>
      <w:r w:rsidRPr="0013344A">
        <w:rPr>
          <w:rFonts w:ascii="Times New Roman" w:hAnsi="Times New Roman"/>
          <w:sz w:val="24"/>
          <w:szCs w:val="24"/>
        </w:rPr>
        <w:t>млн. евро за</w:t>
      </w:r>
      <w:r w:rsidRPr="009F2233">
        <w:rPr>
          <w:rFonts w:ascii="Times New Roman" w:hAnsi="Times New Roman"/>
          <w:sz w:val="24"/>
          <w:szCs w:val="24"/>
        </w:rPr>
        <w:t xml:space="preserve"> предприятие за проект (във връзка с дейности, попадащи в категорията на индустриалните научни изследвания или заедно в категориите на индустриалните и фундаменталните</w:t>
      </w:r>
      <w:r w:rsidR="003208D3" w:rsidRPr="003208D3">
        <w:rPr>
          <w:rFonts w:ascii="Times New Roman" w:hAnsi="Times New Roman"/>
          <w:sz w:val="24"/>
          <w:szCs w:val="24"/>
          <w:vertAlign w:val="superscript"/>
        </w:rPr>
        <w:footnoteReference w:id="7"/>
      </w:r>
      <w:r w:rsidRPr="009F2233">
        <w:rPr>
          <w:rFonts w:ascii="Times New Roman" w:hAnsi="Times New Roman"/>
          <w:sz w:val="24"/>
          <w:szCs w:val="24"/>
        </w:rPr>
        <w:t xml:space="preserve"> научни изследвания)</w:t>
      </w:r>
      <w:r w:rsidR="003208D3">
        <w:rPr>
          <w:rFonts w:ascii="Times New Roman" w:hAnsi="Times New Roman"/>
          <w:sz w:val="24"/>
          <w:szCs w:val="24"/>
        </w:rPr>
        <w:t>.</w:t>
      </w:r>
      <w:r w:rsidRPr="009F2233">
        <w:rPr>
          <w:rFonts w:ascii="Times New Roman" w:hAnsi="Times New Roman"/>
          <w:sz w:val="24"/>
          <w:szCs w:val="24"/>
        </w:rPr>
        <w:t>;</w:t>
      </w:r>
    </w:p>
    <w:p w14:paraId="7386D5C8" w14:textId="3CD9AE42" w:rsidR="00FE1F4F" w:rsidRPr="00153909" w:rsidRDefault="00366289" w:rsidP="00954589">
      <w:pPr>
        <w:jc w:val="both"/>
        <w:rPr>
          <w:rFonts w:ascii="Times New Roman" w:hAnsi="Times New Roman"/>
          <w:sz w:val="24"/>
          <w:szCs w:val="24"/>
        </w:rPr>
      </w:pPr>
      <w:r w:rsidRPr="009F2233">
        <w:rPr>
          <w:rFonts w:ascii="Times New Roman" w:hAnsi="Times New Roman"/>
          <w:sz w:val="24"/>
          <w:szCs w:val="24"/>
        </w:rPr>
        <w:t>А2)</w:t>
      </w:r>
      <w:r w:rsidR="00E643B9">
        <w:rPr>
          <w:rFonts w:ascii="Times New Roman" w:hAnsi="Times New Roman"/>
          <w:sz w:val="24"/>
          <w:szCs w:val="24"/>
        </w:rPr>
        <w:t xml:space="preserve"> </w:t>
      </w:r>
      <w:r w:rsidRPr="009F2233">
        <w:rPr>
          <w:rFonts w:ascii="Times New Roman" w:hAnsi="Times New Roman"/>
          <w:sz w:val="24"/>
          <w:szCs w:val="24"/>
        </w:rPr>
        <w:t xml:space="preserve">Ако проектът е за експериментално развитие: </w:t>
      </w:r>
      <w:r w:rsidR="00E643B9">
        <w:rPr>
          <w:rFonts w:ascii="Times New Roman" w:hAnsi="Times New Roman"/>
          <w:sz w:val="24"/>
          <w:szCs w:val="24"/>
        </w:rPr>
        <w:t>2</w:t>
      </w:r>
      <w:r w:rsidR="00E643B9" w:rsidRPr="009F2233">
        <w:rPr>
          <w:rFonts w:ascii="Times New Roman" w:hAnsi="Times New Roman"/>
          <w:sz w:val="24"/>
          <w:szCs w:val="24"/>
        </w:rPr>
        <w:t xml:space="preserve">5 </w:t>
      </w:r>
      <w:r w:rsidRPr="009F2233">
        <w:rPr>
          <w:rFonts w:ascii="Times New Roman" w:hAnsi="Times New Roman"/>
          <w:sz w:val="24"/>
          <w:szCs w:val="24"/>
        </w:rPr>
        <w:t>млн.</w:t>
      </w:r>
      <w:r w:rsidR="006B1A33" w:rsidRPr="009F2233">
        <w:rPr>
          <w:rFonts w:ascii="Times New Roman" w:hAnsi="Times New Roman"/>
          <w:sz w:val="24"/>
          <w:szCs w:val="24"/>
        </w:rPr>
        <w:t xml:space="preserve"> евро за предприятие за проект.</w:t>
      </w:r>
      <w:r w:rsidR="009F2233" w:rsidRPr="009F2233">
        <w:rPr>
          <w:rFonts w:ascii="Times New Roman" w:hAnsi="Times New Roman"/>
          <w:sz w:val="24"/>
          <w:szCs w:val="24"/>
        </w:rPr>
        <w:t xml:space="preserve"> </w:t>
      </w:r>
      <w:r w:rsidR="006B1A33" w:rsidRPr="009F2233">
        <w:rPr>
          <w:rFonts w:ascii="Times New Roman" w:hAnsi="Times New Roman"/>
          <w:sz w:val="24"/>
          <w:szCs w:val="24"/>
        </w:rPr>
        <w:t xml:space="preserve">Проверката за съответствие с максимално допустимия размер на помощта се извършва при вземане предвид на общия размер на държавната помощ и/или минималната помощ, получена във връзка със същите </w:t>
      </w:r>
      <w:proofErr w:type="spellStart"/>
      <w:r w:rsidR="006B1A33" w:rsidRPr="009F2233">
        <w:rPr>
          <w:rFonts w:ascii="Times New Roman" w:hAnsi="Times New Roman"/>
          <w:sz w:val="24"/>
          <w:szCs w:val="24"/>
        </w:rPr>
        <w:t>установими</w:t>
      </w:r>
      <w:proofErr w:type="spellEnd"/>
      <w:r w:rsidR="006B1A33" w:rsidRPr="009F2233">
        <w:rPr>
          <w:rFonts w:ascii="Times New Roman" w:hAnsi="Times New Roman"/>
          <w:sz w:val="24"/>
          <w:szCs w:val="24"/>
        </w:rPr>
        <w:t xml:space="preserve"> допустими разходи, които се припокриват частично или напълно с разходите по </w:t>
      </w:r>
      <w:r w:rsidR="00E643B9">
        <w:rPr>
          <w:rFonts w:ascii="Times New Roman" w:hAnsi="Times New Roman"/>
          <w:sz w:val="24"/>
          <w:szCs w:val="24"/>
        </w:rPr>
        <w:t xml:space="preserve">проектното </w:t>
      </w:r>
      <w:r w:rsidR="006B1A33" w:rsidRPr="009F2233">
        <w:rPr>
          <w:rFonts w:ascii="Times New Roman" w:hAnsi="Times New Roman"/>
          <w:sz w:val="24"/>
          <w:szCs w:val="24"/>
        </w:rPr>
        <w:t>предложение</w:t>
      </w:r>
      <w:r w:rsidR="008F1925">
        <w:rPr>
          <w:rFonts w:ascii="Times New Roman" w:hAnsi="Times New Roman"/>
          <w:sz w:val="24"/>
          <w:szCs w:val="24"/>
        </w:rPr>
        <w:t>.</w:t>
      </w:r>
    </w:p>
    <w:sectPr w:rsidR="00FE1F4F" w:rsidRPr="00153909" w:rsidSect="008F1925">
      <w:headerReference w:type="default" r:id="rId8"/>
      <w:footerReference w:type="default" r:id="rId9"/>
      <w:pgSz w:w="11906" w:h="16838"/>
      <w:pgMar w:top="1418" w:right="1274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E79AE" w14:textId="77777777" w:rsidR="008B3236" w:rsidRDefault="008B3236" w:rsidP="007D773B">
      <w:pPr>
        <w:spacing w:after="0" w:line="240" w:lineRule="auto"/>
      </w:pPr>
      <w:r>
        <w:separator/>
      </w:r>
    </w:p>
  </w:endnote>
  <w:endnote w:type="continuationSeparator" w:id="0">
    <w:p w14:paraId="01CB58A7" w14:textId="77777777" w:rsidR="008B3236" w:rsidRDefault="008B3236" w:rsidP="007D7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7067849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4E828273" w14:textId="413D0751" w:rsidR="00BA0AA1" w:rsidRDefault="00BA0AA1">
        <w:pPr>
          <w:pStyle w:val="Footer"/>
          <w:jc w:val="center"/>
        </w:pPr>
        <w:r w:rsidRPr="00BA0AA1">
          <w:rPr>
            <w:rFonts w:ascii="Times New Roman" w:hAnsi="Times New Roman"/>
          </w:rPr>
          <w:fldChar w:fldCharType="begin"/>
        </w:r>
        <w:r w:rsidRPr="00BA0AA1">
          <w:rPr>
            <w:rFonts w:ascii="Times New Roman" w:hAnsi="Times New Roman"/>
          </w:rPr>
          <w:instrText xml:space="preserve"> PAGE   \* MERGEFORMAT </w:instrText>
        </w:r>
        <w:r w:rsidRPr="00BA0AA1">
          <w:rPr>
            <w:rFonts w:ascii="Times New Roman" w:hAnsi="Times New Roman"/>
          </w:rPr>
          <w:fldChar w:fldCharType="separate"/>
        </w:r>
        <w:r w:rsidR="00F71C92">
          <w:rPr>
            <w:rFonts w:ascii="Times New Roman" w:hAnsi="Times New Roman"/>
            <w:noProof/>
          </w:rPr>
          <w:t>3</w:t>
        </w:r>
        <w:r w:rsidRPr="00BA0AA1">
          <w:rPr>
            <w:rFonts w:ascii="Times New Roman" w:hAnsi="Times New Roman"/>
            <w:noProof/>
          </w:rPr>
          <w:fldChar w:fldCharType="end"/>
        </w:r>
      </w:p>
    </w:sdtContent>
  </w:sdt>
  <w:p w14:paraId="7BC952F1" w14:textId="046A1834" w:rsidR="00BA0AA1" w:rsidRPr="003208D3" w:rsidRDefault="007374CB" w:rsidP="003208D3">
    <w:pPr>
      <w:pStyle w:val="Footer"/>
      <w:jc w:val="center"/>
      <w:rPr>
        <w:rFonts w:ascii="Times New Roman" w:hAnsi="Times New Roman"/>
        <w:sz w:val="18"/>
        <w:szCs w:val="18"/>
      </w:rPr>
    </w:pPr>
    <w:r w:rsidRPr="00C36283">
      <w:rPr>
        <w:rFonts w:ascii="Times New Roman" w:hAnsi="Times New Roman"/>
        <w:b/>
        <w:sz w:val="18"/>
        <w:szCs w:val="18"/>
      </w:rPr>
      <w:t>BG16RFPR002-1.0</w:t>
    </w:r>
    <w:r w:rsidRPr="00C36283">
      <w:rPr>
        <w:rFonts w:ascii="Times New Roman" w:hAnsi="Times New Roman"/>
        <w:b/>
        <w:sz w:val="18"/>
        <w:szCs w:val="18"/>
        <w:lang w:val="en-US"/>
      </w:rPr>
      <w:t>10</w:t>
    </w:r>
    <w:r w:rsidRPr="00C36283">
      <w:rPr>
        <w:rFonts w:ascii="Times New Roman" w:hAnsi="Times New Roman"/>
        <w:b/>
        <w:sz w:val="18"/>
        <w:szCs w:val="18"/>
      </w:rPr>
      <w:t xml:space="preserve"> „Зелени и цифрови партньорства за интелигентна трансформация“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248BD" w14:textId="77777777" w:rsidR="008B3236" w:rsidRDefault="008B3236" w:rsidP="007D773B">
      <w:pPr>
        <w:spacing w:after="0" w:line="240" w:lineRule="auto"/>
      </w:pPr>
      <w:r>
        <w:separator/>
      </w:r>
    </w:p>
  </w:footnote>
  <w:footnote w:type="continuationSeparator" w:id="0">
    <w:p w14:paraId="00463686" w14:textId="77777777" w:rsidR="008B3236" w:rsidRDefault="008B3236" w:rsidP="007D773B">
      <w:pPr>
        <w:spacing w:after="0" w:line="240" w:lineRule="auto"/>
      </w:pPr>
      <w:r>
        <w:continuationSeparator/>
      </w:r>
    </w:p>
  </w:footnote>
  <w:footnote w:id="1">
    <w:p w14:paraId="79983066" w14:textId="4B8FCF77" w:rsidR="002A7526" w:rsidRPr="003D36D4" w:rsidRDefault="002A7526" w:rsidP="00042EE0">
      <w:pPr>
        <w:pStyle w:val="FootnoteText"/>
        <w:jc w:val="both"/>
        <w:rPr>
          <w:rFonts w:ascii="Times New Roman" w:hAnsi="Times New Roman"/>
          <w:lang w:val="en-US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Съгласно дефинициите, дадени в чл. 2, пар</w:t>
      </w:r>
      <w:r w:rsidR="003208D3">
        <w:rPr>
          <w:rFonts w:ascii="Times New Roman" w:hAnsi="Times New Roman"/>
        </w:rPr>
        <w:t>а</w:t>
      </w:r>
      <w:r w:rsidRPr="003D36D4">
        <w:rPr>
          <w:rFonts w:ascii="Times New Roman" w:hAnsi="Times New Roman"/>
        </w:rPr>
        <w:t>. 8, 9, 10, 11, от Регламент на Комисията (ЕС) № 651/2014,</w:t>
      </w:r>
      <w:r w:rsidR="003D36D4">
        <w:rPr>
          <w:rFonts w:ascii="Times New Roman" w:hAnsi="Times New Roman"/>
          <w:lang w:val="en-US"/>
        </w:rPr>
        <w:t>.</w:t>
      </w:r>
    </w:p>
  </w:footnote>
  <w:footnote w:id="2">
    <w:p w14:paraId="3E070E5E" w14:textId="0435B76E" w:rsidR="002A7526" w:rsidRPr="003D36D4" w:rsidRDefault="002A7526" w:rsidP="003D36D4">
      <w:pPr>
        <w:pStyle w:val="FootnoteText"/>
        <w:jc w:val="both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Съгласно чл. 1, пар</w:t>
      </w:r>
      <w:r w:rsidR="003208D3">
        <w:rPr>
          <w:rFonts w:ascii="Times New Roman" w:hAnsi="Times New Roman"/>
        </w:rPr>
        <w:t>а</w:t>
      </w:r>
      <w:r w:rsidRPr="003D36D4">
        <w:rPr>
          <w:rFonts w:ascii="Times New Roman" w:hAnsi="Times New Roman"/>
        </w:rPr>
        <w:t>. 4, б. а) от Регламент на Комисията (ЕС) № 651/2014г.</w:t>
      </w:r>
    </w:p>
  </w:footnote>
  <w:footnote w:id="3">
    <w:p w14:paraId="2FBF13DA" w14:textId="5017471A" w:rsidR="002A7526" w:rsidRPr="003D36D4" w:rsidRDefault="002A7526" w:rsidP="003D36D4">
      <w:pPr>
        <w:pStyle w:val="FootnoteText"/>
        <w:jc w:val="both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Проверка по отношение на обстоятелството дали кандидатите (и на ниво група) попадат в определението за затруднено положение по чл. 2, пар</w:t>
      </w:r>
      <w:r w:rsidR="003208D3">
        <w:rPr>
          <w:rFonts w:ascii="Times New Roman" w:hAnsi="Times New Roman"/>
        </w:rPr>
        <w:t>а</w:t>
      </w:r>
      <w:r w:rsidRPr="003D36D4">
        <w:rPr>
          <w:rFonts w:ascii="Times New Roman" w:hAnsi="Times New Roman"/>
        </w:rPr>
        <w:t>. 18 от Регламент (ЕС) № 651/2014 ще бъде извършвана спрямо всички кандидати съгласно данни от Декларацията за държавни помощи, удостоверение за актуално състояние, налична информация в публичните регистри (вкл. ТР</w:t>
      </w:r>
      <w:r w:rsidRPr="003D36D4">
        <w:rPr>
          <w:rFonts w:ascii="Times New Roman" w:hAnsi="Times New Roman"/>
          <w:sz w:val="22"/>
          <w:szCs w:val="22"/>
        </w:rPr>
        <w:t xml:space="preserve"> </w:t>
      </w:r>
      <w:r w:rsidRPr="003D36D4">
        <w:rPr>
          <w:rFonts w:ascii="Times New Roman" w:hAnsi="Times New Roman"/>
        </w:rPr>
        <w:t>и регистър на ЮЛНЦ) и Годишен отчет за дейността за последните три приключени финансови  години (2019, 2020 и 2021 г.)</w:t>
      </w:r>
    </w:p>
  </w:footnote>
  <w:footnote w:id="4">
    <w:p w14:paraId="506954A8" w14:textId="280F9826" w:rsidR="002A7526" w:rsidRPr="003D36D4" w:rsidRDefault="002A7526" w:rsidP="003D36D4">
      <w:pPr>
        <w:pStyle w:val="FootnoteText"/>
        <w:jc w:val="both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Съгласно данните от формуляра „Счетоводен баланс“ на предприятието-кандидат, част от Годишния отчет за дейността, подаден към НСИ, за последната приключена финансова година.</w:t>
      </w:r>
    </w:p>
  </w:footnote>
  <w:footnote w:id="5">
    <w:p w14:paraId="73E18F4A" w14:textId="77777777" w:rsidR="002A7526" w:rsidRPr="003D36D4" w:rsidRDefault="002A7526" w:rsidP="002A7526">
      <w:pPr>
        <w:pStyle w:val="FootnoteText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Съгласно чл. 1, </w:t>
      </w:r>
      <w:proofErr w:type="spellStart"/>
      <w:r w:rsidRPr="003D36D4">
        <w:rPr>
          <w:rFonts w:ascii="Times New Roman" w:hAnsi="Times New Roman"/>
        </w:rPr>
        <w:t>пар</w:t>
      </w:r>
      <w:proofErr w:type="spellEnd"/>
      <w:r w:rsidRPr="003D36D4">
        <w:rPr>
          <w:rFonts w:ascii="Times New Roman" w:hAnsi="Times New Roman"/>
        </w:rPr>
        <w:t>. 2, б. в) от Регламент на Комисията (ЕС) № 651/2014г.</w:t>
      </w:r>
    </w:p>
  </w:footnote>
  <w:footnote w:id="6">
    <w:p w14:paraId="2F42F70E" w14:textId="77777777" w:rsidR="002A7526" w:rsidRPr="003D36D4" w:rsidRDefault="002A7526" w:rsidP="002A7526">
      <w:pPr>
        <w:pStyle w:val="FootnoteText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 w:rsidRPr="003D36D4">
        <w:rPr>
          <w:rFonts w:ascii="Times New Roman" w:hAnsi="Times New Roman"/>
        </w:rPr>
        <w:t xml:space="preserve"> Съгласно чл. 1, </w:t>
      </w:r>
      <w:proofErr w:type="spellStart"/>
      <w:r w:rsidRPr="003D36D4">
        <w:rPr>
          <w:rFonts w:ascii="Times New Roman" w:hAnsi="Times New Roman"/>
        </w:rPr>
        <w:t>пар</w:t>
      </w:r>
      <w:proofErr w:type="spellEnd"/>
      <w:r w:rsidRPr="003D36D4">
        <w:rPr>
          <w:rFonts w:ascii="Times New Roman" w:hAnsi="Times New Roman"/>
        </w:rPr>
        <w:t>. 2, б. г) от Регламент на Комисията (ЕС) № 651/2014г.</w:t>
      </w:r>
    </w:p>
  </w:footnote>
  <w:footnote w:id="7">
    <w:p w14:paraId="18EAAA34" w14:textId="5D3F0473" w:rsidR="003208D3" w:rsidRPr="003D36D4" w:rsidRDefault="003208D3" w:rsidP="003208D3">
      <w:pPr>
        <w:pStyle w:val="FootnoteText"/>
        <w:rPr>
          <w:rFonts w:ascii="Times New Roman" w:hAnsi="Times New Roman"/>
        </w:rPr>
      </w:pPr>
      <w:r w:rsidRPr="003D36D4"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По процедурата са недопустими дейности и разходи, свързани с фундаментални научни изследвания</w:t>
      </w:r>
      <w:r w:rsidRPr="003D36D4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0B503" w14:textId="008A4313" w:rsidR="00CF69E3" w:rsidRDefault="001A3325" w:rsidP="001A3325">
    <w:pPr>
      <w:pStyle w:val="Header"/>
      <w:tabs>
        <w:tab w:val="clear" w:pos="4536"/>
        <w:tab w:val="clear" w:pos="9072"/>
        <w:tab w:val="right" w:pos="8844"/>
      </w:tabs>
    </w:pPr>
    <w:r w:rsidRPr="00AA73A7">
      <w:rPr>
        <w:i/>
        <w:noProof/>
        <w:lang w:val="en-US"/>
      </w:rPr>
      <w:drawing>
        <wp:inline distT="0" distB="0" distL="0" distR="0" wp14:anchorId="4890C832" wp14:editId="4A101124">
          <wp:extent cx="2009775" cy="466725"/>
          <wp:effectExtent l="0" t="0" r="9525" b="952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21494B">
      <w:rPr>
        <w:noProof/>
        <w:lang w:val="en-US"/>
      </w:rPr>
      <w:drawing>
        <wp:inline distT="0" distB="0" distL="0" distR="0" wp14:anchorId="2CE3D5CB" wp14:editId="70C68BF8">
          <wp:extent cx="1847850" cy="537372"/>
          <wp:effectExtent l="0" t="0" r="0" b="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220" cy="559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2C"/>
    <w:rsid w:val="00014939"/>
    <w:rsid w:val="00017DD1"/>
    <w:rsid w:val="00021894"/>
    <w:rsid w:val="00042D0E"/>
    <w:rsid w:val="00042EE0"/>
    <w:rsid w:val="00051FC8"/>
    <w:rsid w:val="00053778"/>
    <w:rsid w:val="00061700"/>
    <w:rsid w:val="00091101"/>
    <w:rsid w:val="000948D6"/>
    <w:rsid w:val="000A0910"/>
    <w:rsid w:val="000C5D84"/>
    <w:rsid w:val="000D2394"/>
    <w:rsid w:val="0013344A"/>
    <w:rsid w:val="00134330"/>
    <w:rsid w:val="00135F11"/>
    <w:rsid w:val="00153909"/>
    <w:rsid w:val="00165D0F"/>
    <w:rsid w:val="001775F8"/>
    <w:rsid w:val="00181616"/>
    <w:rsid w:val="001A280C"/>
    <w:rsid w:val="001A3325"/>
    <w:rsid w:val="001F49EC"/>
    <w:rsid w:val="001F6A3F"/>
    <w:rsid w:val="00212471"/>
    <w:rsid w:val="0021494B"/>
    <w:rsid w:val="00224B83"/>
    <w:rsid w:val="0022640A"/>
    <w:rsid w:val="002652DE"/>
    <w:rsid w:val="002705A7"/>
    <w:rsid w:val="002A7526"/>
    <w:rsid w:val="002B159B"/>
    <w:rsid w:val="002C5621"/>
    <w:rsid w:val="00304FF2"/>
    <w:rsid w:val="003208D3"/>
    <w:rsid w:val="00366289"/>
    <w:rsid w:val="00366EF2"/>
    <w:rsid w:val="00374093"/>
    <w:rsid w:val="003A08DF"/>
    <w:rsid w:val="003A455D"/>
    <w:rsid w:val="003B1AA6"/>
    <w:rsid w:val="003C0AE6"/>
    <w:rsid w:val="003C4B39"/>
    <w:rsid w:val="003D36D4"/>
    <w:rsid w:val="003E21AE"/>
    <w:rsid w:val="003F0F7F"/>
    <w:rsid w:val="0042382C"/>
    <w:rsid w:val="0044044F"/>
    <w:rsid w:val="00454167"/>
    <w:rsid w:val="00490A59"/>
    <w:rsid w:val="00491DE6"/>
    <w:rsid w:val="00496E34"/>
    <w:rsid w:val="004C3B19"/>
    <w:rsid w:val="004E597D"/>
    <w:rsid w:val="00521BF0"/>
    <w:rsid w:val="0053485A"/>
    <w:rsid w:val="00546539"/>
    <w:rsid w:val="005706F0"/>
    <w:rsid w:val="005A5B7D"/>
    <w:rsid w:val="005D1097"/>
    <w:rsid w:val="005D3E9F"/>
    <w:rsid w:val="005F7216"/>
    <w:rsid w:val="00601BF3"/>
    <w:rsid w:val="00633EDF"/>
    <w:rsid w:val="0064046A"/>
    <w:rsid w:val="00646113"/>
    <w:rsid w:val="006473FC"/>
    <w:rsid w:val="006660BB"/>
    <w:rsid w:val="00667681"/>
    <w:rsid w:val="00671D17"/>
    <w:rsid w:val="00677537"/>
    <w:rsid w:val="006A05B8"/>
    <w:rsid w:val="006B1A33"/>
    <w:rsid w:val="006B37C9"/>
    <w:rsid w:val="006C2A95"/>
    <w:rsid w:val="00710193"/>
    <w:rsid w:val="00720B38"/>
    <w:rsid w:val="00736331"/>
    <w:rsid w:val="007374CB"/>
    <w:rsid w:val="00762BD8"/>
    <w:rsid w:val="007845B5"/>
    <w:rsid w:val="00794DF6"/>
    <w:rsid w:val="007D773B"/>
    <w:rsid w:val="007E32EF"/>
    <w:rsid w:val="007E459F"/>
    <w:rsid w:val="00810F3A"/>
    <w:rsid w:val="00825947"/>
    <w:rsid w:val="008368B5"/>
    <w:rsid w:val="00847D22"/>
    <w:rsid w:val="00877819"/>
    <w:rsid w:val="00877F2F"/>
    <w:rsid w:val="008A7829"/>
    <w:rsid w:val="008B3236"/>
    <w:rsid w:val="008C2957"/>
    <w:rsid w:val="008E00F1"/>
    <w:rsid w:val="008E4594"/>
    <w:rsid w:val="008F1925"/>
    <w:rsid w:val="009212FC"/>
    <w:rsid w:val="0093490C"/>
    <w:rsid w:val="00937DF4"/>
    <w:rsid w:val="00954589"/>
    <w:rsid w:val="009640FF"/>
    <w:rsid w:val="0097620D"/>
    <w:rsid w:val="009765AA"/>
    <w:rsid w:val="009A55AA"/>
    <w:rsid w:val="009C635F"/>
    <w:rsid w:val="009D174E"/>
    <w:rsid w:val="009D52EE"/>
    <w:rsid w:val="009E3C2C"/>
    <w:rsid w:val="009F2233"/>
    <w:rsid w:val="00A01BEC"/>
    <w:rsid w:val="00A22952"/>
    <w:rsid w:val="00A3243B"/>
    <w:rsid w:val="00A5009F"/>
    <w:rsid w:val="00A82BB2"/>
    <w:rsid w:val="00AA7C55"/>
    <w:rsid w:val="00AE50B6"/>
    <w:rsid w:val="00B0575B"/>
    <w:rsid w:val="00B171E7"/>
    <w:rsid w:val="00B23385"/>
    <w:rsid w:val="00B560A0"/>
    <w:rsid w:val="00B56968"/>
    <w:rsid w:val="00B617A4"/>
    <w:rsid w:val="00B63039"/>
    <w:rsid w:val="00B72E56"/>
    <w:rsid w:val="00B74934"/>
    <w:rsid w:val="00B76423"/>
    <w:rsid w:val="00B969A1"/>
    <w:rsid w:val="00BA0AA1"/>
    <w:rsid w:val="00BA3995"/>
    <w:rsid w:val="00BB0310"/>
    <w:rsid w:val="00BC03FB"/>
    <w:rsid w:val="00BC4C2E"/>
    <w:rsid w:val="00BC60D5"/>
    <w:rsid w:val="00BC696D"/>
    <w:rsid w:val="00BD17BD"/>
    <w:rsid w:val="00BF06A2"/>
    <w:rsid w:val="00BF0F93"/>
    <w:rsid w:val="00C06BC4"/>
    <w:rsid w:val="00C96E7E"/>
    <w:rsid w:val="00C971CB"/>
    <w:rsid w:val="00CA62F1"/>
    <w:rsid w:val="00CC1F6E"/>
    <w:rsid w:val="00CD271D"/>
    <w:rsid w:val="00CD3D52"/>
    <w:rsid w:val="00CF69E3"/>
    <w:rsid w:val="00D1317F"/>
    <w:rsid w:val="00D24810"/>
    <w:rsid w:val="00D61EF0"/>
    <w:rsid w:val="00D74C40"/>
    <w:rsid w:val="00D81E32"/>
    <w:rsid w:val="00D86867"/>
    <w:rsid w:val="00D92E0B"/>
    <w:rsid w:val="00DB3983"/>
    <w:rsid w:val="00DC2BD1"/>
    <w:rsid w:val="00DC2CDA"/>
    <w:rsid w:val="00DD1067"/>
    <w:rsid w:val="00DF5171"/>
    <w:rsid w:val="00E132EB"/>
    <w:rsid w:val="00E1363B"/>
    <w:rsid w:val="00E51700"/>
    <w:rsid w:val="00E643B9"/>
    <w:rsid w:val="00E67DE5"/>
    <w:rsid w:val="00F01863"/>
    <w:rsid w:val="00F261DD"/>
    <w:rsid w:val="00F35E4C"/>
    <w:rsid w:val="00F41A42"/>
    <w:rsid w:val="00F42203"/>
    <w:rsid w:val="00F448CD"/>
    <w:rsid w:val="00F547D4"/>
    <w:rsid w:val="00F65D85"/>
    <w:rsid w:val="00F71C92"/>
    <w:rsid w:val="00F75137"/>
    <w:rsid w:val="00FA0264"/>
    <w:rsid w:val="00FC1A7F"/>
    <w:rsid w:val="00FE1F4F"/>
    <w:rsid w:val="00FE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06608EC"/>
  <w15:chartTrackingRefBased/>
  <w15:docId w15:val="{811ECD2C-3309-454C-8FF3-6A222D2E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szCs w:val="16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D773B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773B"/>
    <w:rPr>
      <w:szCs w:val="20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unhideWhenUsed/>
    <w:qFormat/>
    <w:rsid w:val="007D773B"/>
    <w:rPr>
      <w:vertAlign w:val="superscript"/>
    </w:rPr>
  </w:style>
  <w:style w:type="paragraph" w:styleId="ListParagraph">
    <w:name w:val="List Paragraph"/>
    <w:basedOn w:val="Normal"/>
    <w:uiPriority w:val="34"/>
    <w:qFormat/>
    <w:rsid w:val="001539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1B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1BF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1BF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1B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1BF3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1B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1B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A0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AA1"/>
  </w:style>
  <w:style w:type="paragraph" w:styleId="Footer">
    <w:name w:val="footer"/>
    <w:basedOn w:val="Normal"/>
    <w:link w:val="FooterChar"/>
    <w:uiPriority w:val="99"/>
    <w:unhideWhenUsed/>
    <w:rsid w:val="00BA0A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AA1"/>
  </w:style>
  <w:style w:type="table" w:styleId="TableGrid">
    <w:name w:val="Table Grid"/>
    <w:basedOn w:val="TableNormal"/>
    <w:uiPriority w:val="39"/>
    <w:rsid w:val="001775F8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B057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100A3-C56F-4FF3-8517-5738FA1CA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Hristo Yordanov</cp:lastModifiedBy>
  <cp:revision>15</cp:revision>
  <dcterms:created xsi:type="dcterms:W3CDTF">2024-09-19T11:00:00Z</dcterms:created>
  <dcterms:modified xsi:type="dcterms:W3CDTF">2025-10-08T08:59:00Z</dcterms:modified>
</cp:coreProperties>
</file>